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keepNext w:val="true"/>
        <w:widowControl w:val="false"/>
        <w:numPr>
          <w:ilvl w:val="0"/>
          <w:numId w:val="4"/>
        </w:numPr>
        <w:suppressAutoHyphens w:val="true"/>
        <w:bidi w:val="0"/>
        <w:spacing w:lineRule="auto" w:line="240" w:before="1" w:after="0"/>
        <w:ind w:left="5102" w:right="0" w:hanging="0"/>
        <w:jc w:val="right"/>
        <w:rPr>
          <w:b w:val="false"/>
          <w:b w:val="false"/>
          <w:bCs w:val="false"/>
          <w:sz w:val="16"/>
          <w:szCs w:val="16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 xml:space="preserve">Załącznik nr  2 do zarządzenia  nr </w:t>
      </w:r>
      <w:r>
        <w:rPr>
          <w:rFonts w:cs="Calibri" w:ascii="Calibri" w:hAnsi="Calibri"/>
          <w:b w:val="false"/>
          <w:bCs w:val="false"/>
          <w:sz w:val="16"/>
          <w:szCs w:val="16"/>
        </w:rPr>
        <w:t>318/2024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 </w:t>
      </w:r>
    </w:p>
    <w:p>
      <w:pPr>
        <w:pStyle w:val="Tretekstu"/>
        <w:widowControl w:val="false"/>
        <w:suppressAutoHyphens w:val="true"/>
        <w:bidi w:val="0"/>
        <w:spacing w:lineRule="auto" w:line="240" w:before="1" w:after="0"/>
        <w:ind w:left="5669" w:right="0" w:hanging="0"/>
        <w:jc w:val="right"/>
        <w:rPr>
          <w:b w:val="false"/>
          <w:b w:val="false"/>
          <w:bCs w:val="false"/>
          <w:sz w:val="16"/>
          <w:szCs w:val="16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 xml:space="preserve">Prezydenta Miasta Kalisza  z dnia  </w:t>
      </w:r>
      <w:r>
        <w:rPr>
          <w:rFonts w:cs="Calibri" w:ascii="Calibri" w:hAnsi="Calibri"/>
          <w:b w:val="false"/>
          <w:bCs w:val="false"/>
          <w:sz w:val="16"/>
          <w:szCs w:val="16"/>
        </w:rPr>
        <w:t>22 maja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 2024 r </w:t>
      </w:r>
    </w:p>
    <w:p>
      <w:pPr>
        <w:pStyle w:val="Tretekstu"/>
        <w:widowControl w:val="false"/>
        <w:suppressAutoHyphens w:val="true"/>
        <w:bidi w:val="0"/>
        <w:spacing w:lineRule="auto" w:line="240" w:before="1" w:after="0"/>
        <w:ind w:left="5669" w:right="0" w:hanging="0"/>
        <w:jc w:val="right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agwek3"/>
        <w:numPr>
          <w:ilvl w:val="2"/>
          <w:numId w:val="4"/>
        </w:numPr>
        <w:bidi w:val="0"/>
        <w:spacing w:before="140" w:after="120"/>
        <w:ind w:left="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Ogłoszenie o naborze wniosków o dofinansowanie w ramach Programu Priorytetowego „Ciepłe Mieszkanie” na terenie Miasta Kalisza</w:t>
      </w:r>
    </w:p>
    <w:p>
      <w:pPr>
        <w:pStyle w:val="Tretekstu"/>
        <w:bidi w:val="0"/>
        <w:ind w:left="0" w:right="0" w:hanging="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 </w:t>
      </w:r>
    </w:p>
    <w:p>
      <w:pPr>
        <w:pStyle w:val="Tretekstu"/>
        <w:bidi w:val="0"/>
        <w:ind w:left="0" w:right="0" w:hanging="0"/>
        <w:jc w:val="both"/>
        <w:rPr/>
      </w:pPr>
      <w:r>
        <w:rPr>
          <w:rFonts w:cs="Calibri" w:ascii="Calibri" w:hAnsi="Calibri"/>
          <w:sz w:val="20"/>
          <w:szCs w:val="20"/>
        </w:rPr>
        <w:t>Zgodnie z </w:t>
      </w:r>
      <w:r>
        <w:rPr>
          <w:rStyle w:val="Strong"/>
          <w:rFonts w:cs="Calibri" w:ascii="Calibri" w:hAnsi="Calibri"/>
          <w:sz w:val="20"/>
          <w:szCs w:val="20"/>
        </w:rPr>
        <w:t>Zarządzeniem Prezydenta Miasta Kalisza nr</w:t>
      </w:r>
      <w:r>
        <w:rPr>
          <w:rStyle w:val="Strong"/>
          <w:rFonts w:cs="Calibri" w:ascii="Calibri" w:hAnsi="Calibri"/>
          <w:sz w:val="20"/>
          <w:szCs w:val="20"/>
        </w:rPr>
        <w:t>318/2024</w:t>
      </w:r>
      <w:r>
        <w:rPr>
          <w:rFonts w:cs="Calibri" w:ascii="Calibri" w:hAnsi="Calibri"/>
          <w:sz w:val="20"/>
          <w:szCs w:val="20"/>
        </w:rPr>
        <w:t> </w:t>
      </w:r>
      <w:r>
        <w:rPr>
          <w:rStyle w:val="Strong"/>
          <w:rFonts w:cs="Calibri" w:ascii="Calibri" w:hAnsi="Calibri"/>
          <w:sz w:val="20"/>
          <w:szCs w:val="20"/>
        </w:rPr>
        <w:t>z dnia </w:t>
      </w:r>
      <w:r>
        <w:rPr>
          <w:rStyle w:val="Strong"/>
          <w:rFonts w:cs="Calibri" w:ascii="Calibri" w:hAnsi="Calibri"/>
          <w:sz w:val="20"/>
          <w:szCs w:val="20"/>
        </w:rPr>
        <w:t xml:space="preserve">22 maja </w:t>
      </w:r>
      <w:r>
        <w:rPr>
          <w:rStyle w:val="Strong"/>
          <w:rFonts w:cs="Calibri" w:ascii="Calibri" w:hAnsi="Calibri"/>
          <w:sz w:val="20"/>
          <w:szCs w:val="20"/>
        </w:rPr>
        <w:t>2024r. Urząd Miasta Kalisza</w:t>
      </w:r>
      <w:r>
        <w:rPr>
          <w:rFonts w:cs="Calibri" w:ascii="Calibri" w:hAnsi="Calibri"/>
          <w:sz w:val="20"/>
          <w:szCs w:val="20"/>
        </w:rPr>
        <w:t xml:space="preserve"> ogłasza nabór wniosków o dofinansowanie w ramach Programu Priorytetowego „Ciepłe Mieszkanie” na terenie Miasta Kalisza</w:t>
      </w:r>
      <w:r>
        <w:rPr>
          <w:rStyle w:val="Strong"/>
          <w:rFonts w:cs="Calibri" w:ascii="Calibri" w:hAnsi="Calibri"/>
          <w:sz w:val="20"/>
          <w:szCs w:val="20"/>
        </w:rPr>
        <w:t xml:space="preserve">. </w:t>
      </w:r>
      <w:r>
        <w:rPr>
          <w:rFonts w:cs="Calibri" w:ascii="Calibri" w:hAnsi="Calibri"/>
          <w:sz w:val="20"/>
          <w:szCs w:val="20"/>
        </w:rPr>
        <w:t>W ramach Programu istnieje możliwość finansowania przedsięwzięć rozpoczętych </w:t>
      </w:r>
      <w:r>
        <w:rPr>
          <w:rStyle w:val="Strong"/>
          <w:rFonts w:cs="Calibri" w:ascii="Calibri" w:hAnsi="Calibri"/>
          <w:sz w:val="20"/>
          <w:szCs w:val="20"/>
        </w:rPr>
        <w:t>nie wcześniej</w:t>
      </w:r>
      <w:r>
        <w:rPr>
          <w:rFonts w:cs="Calibri" w:ascii="Calibri" w:hAnsi="Calibri"/>
          <w:sz w:val="20"/>
          <w:szCs w:val="20"/>
        </w:rPr>
        <w:t> niż od dnia podpisania umowy o dofinansowanie przedsięwzięcia z Gminą. </w:t>
      </w:r>
      <w:r>
        <w:rPr>
          <w:rStyle w:val="Strong"/>
          <w:rFonts w:cs="Calibri" w:ascii="Calibri" w:hAnsi="Calibri"/>
          <w:sz w:val="20"/>
          <w:szCs w:val="20"/>
        </w:rPr>
        <w:t>Termin zakończenia realizacji przedsięwzięcia to 12 miesięcy od dnia podpisania ww. umowy, jednak nie później niż do 15.11.2025 r. </w:t>
      </w:r>
      <w:r>
        <w:rPr>
          <w:rFonts w:cs="Calibri" w:ascii="Calibri" w:hAnsi="Calibri"/>
          <w:sz w:val="20"/>
          <w:szCs w:val="20"/>
        </w:rPr>
        <w:t xml:space="preserve">Nabór trwać będzie do wyczerpania alokacji, jednak nie później niż do 31.07.2025 roku. Na realizację Programu przeznaczono środki w wysokości 2 808 000,00 zł. 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ind w:left="0" w:right="0" w:hanging="0"/>
        <w:jc w:val="both"/>
        <w:rPr/>
      </w:pPr>
      <w:r>
        <w:rPr>
          <w:rStyle w:val="Strong"/>
          <w:rFonts w:cs="Calibri" w:ascii="Calibri" w:hAnsi="Calibri"/>
          <w:sz w:val="20"/>
          <w:szCs w:val="20"/>
        </w:rPr>
        <w:t>Dla kogo dofinansowanie?</w:t>
      </w:r>
    </w:p>
    <w:p>
      <w:pPr>
        <w:pStyle w:val="Tretekstu"/>
        <w:spacing w:before="0" w:after="140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Wnioski mogą składać osoby fizyczne, posiadające tytuł prawny do lokalu mieszkalnego znajdującego się w budynku mieszkalnym wielorodzinnym wynikający z: prawa własności lub ograniczonego prawa rzeczowego do lokalu mieszkalnego, najemcy lokali mieszkalnych stanowiących własność gminy, wchodzących w skład mieszkaniowego zasobu gminy (w rozumieniu ustawy z dnia 21 czerwca 2021 r. o ochronie praw lokatorów, mieszkaniowym zasobie gminy i o zmianie Kodeksu cywilnego), jeżeli nie wszystkie lokale mieszkalne w tym budynku stanowią własność gminy oraz dla wspólnot mieszkaniowych (w rozumieniu ustawy z dnia 24 czerwca 1994 r. o własności lokali) obejmującej od 3 do 7 lokali mieszkalnych.</w:t>
      </w:r>
    </w:p>
    <w:p>
      <w:pPr>
        <w:pStyle w:val="Nagwek2"/>
        <w:numPr>
          <w:ilvl w:val="0"/>
          <w:numId w:val="4"/>
        </w:numPr>
        <w:ind w:left="0" w:right="0" w:hanging="0"/>
        <w:rPr>
          <w:rFonts w:ascii="Calibri" w:hAnsi="Calibri" w:cs="Calibri"/>
          <w:sz w:val="20"/>
          <w:szCs w:val="20"/>
        </w:rPr>
      </w:pPr>
      <w:bookmarkStart w:id="0" w:name="na-co"/>
      <w:bookmarkEnd w:id="0"/>
      <w:r>
        <w:rPr>
          <w:rFonts w:cs="Calibri" w:ascii="Calibri" w:hAnsi="Calibri"/>
          <w:sz w:val="20"/>
          <w:szCs w:val="20"/>
        </w:rPr>
        <w:t>Na co?</w:t>
      </w:r>
    </w:p>
    <w:p>
      <w:pPr>
        <w:pStyle w:val="Tretekstu"/>
        <w:spacing w:before="0" w:after="140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Program „Ciepłe Mieszkanie” skierowany jest: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29"/>
        <w:gridCol w:w="4708"/>
      </w:tblGrid>
      <w:tr>
        <w:trPr>
          <w:tblHeader w:val="true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dla osób fizycznych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dla wspólnot mieszkaniowych</w:t>
            </w:r>
          </w:p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obejmujących od 3 do 7 lokali</w:t>
            </w:r>
          </w:p>
        </w:tc>
      </w:tr>
      <w:tr>
        <w:trPr/>
        <w:tc>
          <w:tcPr>
            <w:tcW w:w="4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76" w:before="0" w:after="140"/>
              <w:ind w:left="340" w:right="0" w:hanging="340"/>
              <w:jc w:val="left"/>
              <w:rPr/>
            </w:pPr>
            <w:r>
              <w:rPr>
                <w:rFonts w:ascii="Calibri" w:hAnsi="Calibri"/>
                <w:sz w:val="20"/>
                <w:szCs w:val="20"/>
              </w:rPr>
              <w:t>demontaż nieefektywnych źródeł ciepła na paliwa stałe (tzw. kopciuchów) oraz zakup i montaż źródła ciepła albo podłączenie lokalu mieszkalnego do efektywnego źródła ciepła w budynku tj.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Program wspiera zastosowanie: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suppressLineNumbers/>
              <w:suppressAutoHyphens w:val="true"/>
              <w:bidi w:val="0"/>
              <w:spacing w:lineRule="auto" w:line="240" w:before="0" w:after="0"/>
              <w:ind w:left="340" w:right="0" w:hanging="340"/>
              <w:contextualSpacing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kotła gazowego kondensacyjnego,</w:t>
            </w:r>
          </w:p>
          <w:p>
            <w:pPr>
              <w:pStyle w:val="Tretekstu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38" w:leader="none"/>
              </w:tabs>
              <w:suppressAutoHyphens w:val="true"/>
              <w:bidi w:val="0"/>
              <w:spacing w:lineRule="auto" w:line="240" w:before="0" w:after="0"/>
              <w:ind w:left="340" w:right="0" w:hanging="340"/>
              <w:contextualSpacing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kotła na pellet drzewny o podwyższonym standardzie,</w:t>
            </w:r>
          </w:p>
          <w:p>
            <w:pPr>
              <w:pStyle w:val="Tretekstu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38" w:leader="none"/>
              </w:tabs>
              <w:suppressAutoHyphens w:val="true"/>
              <w:bidi w:val="0"/>
              <w:spacing w:lineRule="auto" w:line="240" w:before="0" w:after="0"/>
              <w:ind w:left="340" w:right="0" w:hanging="340"/>
              <w:contextualSpacing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ogrzewania elektrycznego,</w:t>
            </w:r>
          </w:p>
          <w:p>
            <w:pPr>
              <w:pStyle w:val="Tretekstu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38" w:leader="none"/>
              </w:tabs>
              <w:suppressAutoHyphens w:val="true"/>
              <w:bidi w:val="0"/>
              <w:spacing w:lineRule="auto" w:line="240" w:before="0" w:after="0"/>
              <w:ind w:left="340" w:right="0" w:hanging="340"/>
              <w:contextualSpacing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pompy ciepła powietrze/woda lub pompy ciepła powietrze/powietrze</w:t>
            </w:r>
          </w:p>
          <w:p>
            <w:pPr>
              <w:pStyle w:val="Tretekstu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38" w:leader="none"/>
                <w:tab w:val="left" w:pos="625" w:leader="none"/>
              </w:tabs>
              <w:suppressAutoHyphens w:val="true"/>
              <w:bidi w:val="0"/>
              <w:spacing w:lineRule="auto" w:line="240" w:before="0" w:after="0"/>
              <w:ind w:left="340" w:right="0" w:hanging="340"/>
              <w:contextualSpacing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podłączenie lokalu do wspólnego efektywnego źródła ciepła.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16" w:leader="none"/>
              </w:tabs>
              <w:suppressAutoHyphens w:val="true"/>
              <w:bidi w:val="0"/>
              <w:spacing w:lineRule="auto" w:line="240" w:before="0" w:after="0"/>
              <w:ind w:left="226" w:right="0" w:hanging="0"/>
              <w:contextualSpacing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Warunkowo:</w:t>
            </w:r>
          </w:p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963" w:leader="none"/>
              </w:tabs>
              <w:suppressAutoHyphens w:val="true"/>
              <w:bidi w:val="0"/>
              <w:spacing w:lineRule="auto" w:line="240" w:before="124" w:after="0"/>
              <w:ind w:left="340" w:right="0" w:hanging="340"/>
              <w:jc w:val="left"/>
              <w:rPr/>
            </w:pPr>
            <w:r>
              <w:rPr>
                <w:rFonts w:ascii="Calibri" w:hAnsi="Calibri"/>
                <w:sz w:val="20"/>
                <w:szCs w:val="20"/>
              </w:rPr>
              <w:t>zakup i montaż wentylacji mechanicznej  z odzyskiem ciepła,</w:t>
            </w:r>
          </w:p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340" w:right="0" w:hanging="340"/>
              <w:contextualSpacing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stolarka okienna i drzwiową,</w:t>
            </w:r>
          </w:p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340" w:right="0" w:hanging="34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dokumentacja projektową,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454" w:right="57" w:hanging="340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demontaż wszystkich nieefektywnych źródeł ciepła na paliwo stałe w budynku oraz zakup i montaż wspólnego źródła ciepła do celów ogrzewania lub ogrzewania i cwu,</w:t>
            </w:r>
          </w:p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454" w:right="340" w:hanging="340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zakup i montaż nowej instalacji centralnego ogrzewania i/lub cwu,</w:t>
            </w:r>
          </w:p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454" w:right="340" w:hanging="340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zakup i montaż wentylacji mechanicznej z odzyskiem ciepła,</w:t>
            </w:r>
          </w:p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738" w:leader="none"/>
              </w:tabs>
              <w:suppressAutoHyphens w:val="true"/>
              <w:bidi w:val="0"/>
              <w:spacing w:lineRule="auto" w:line="240" w:before="0" w:after="0"/>
              <w:ind w:left="454" w:right="57" w:hanging="340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zakup i montaż ocieplenia przegród budowlanych, okien, drzwi, drzwi/bram garażowych, zakup i montaż mikroinstalacji fotowoltaicznej,</w:t>
            </w:r>
          </w:p>
          <w:p>
            <w:pPr>
              <w:pStyle w:val="Zawartotabeli"/>
              <w:widowControl w:val="false"/>
              <w:numPr>
                <w:ilvl w:val="0"/>
                <w:numId w:val="8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454" w:right="57" w:hanging="34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dokumentacja: audyt energetyczny, dokumentacja projektowa, ekspertyzy.</w:t>
            </w:r>
          </w:p>
        </w:tc>
      </w:tr>
    </w:tbl>
    <w:p>
      <w:pPr>
        <w:pStyle w:val="Nagwek2"/>
        <w:numPr>
          <w:ilvl w:val="1"/>
          <w:numId w:val="4"/>
        </w:numPr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widowControl w:val="false"/>
        <w:suppressAutoHyphens w:val="true"/>
        <w:bidi w:val="0"/>
        <w:spacing w:lineRule="auto" w:line="240" w:before="124" w:after="0"/>
        <w:ind w:left="0" w:right="0" w:hanging="0"/>
        <w:jc w:val="left"/>
        <w:rPr>
          <w:rFonts w:ascii="Calibri" w:hAnsi="Calibri"/>
          <w:b/>
          <w:b/>
          <w:bCs/>
          <w:sz w:val="20"/>
          <w:szCs w:val="20"/>
        </w:rPr>
      </w:pPr>
      <w:bookmarkStart w:id="1" w:name="ile"/>
      <w:bookmarkEnd w:id="1"/>
      <w:r>
        <w:rPr>
          <w:rFonts w:ascii="Calibri" w:hAnsi="Calibri"/>
          <w:b/>
          <w:bCs/>
          <w:sz w:val="20"/>
          <w:szCs w:val="20"/>
        </w:rPr>
        <w:t>Ile?</w:t>
      </w:r>
    </w:p>
    <w:p>
      <w:pPr>
        <w:pStyle w:val="Tretekstu"/>
        <w:widowControl w:val="false"/>
        <w:suppressAutoHyphens w:val="true"/>
        <w:bidi w:val="0"/>
        <w:spacing w:lineRule="auto" w:line="240" w:before="124" w:after="0"/>
        <w:ind w:left="0" w:right="0" w:hanging="0"/>
        <w:jc w:val="left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Tretekstu"/>
        <w:spacing w:before="0" w:after="140"/>
        <w:ind w:left="0" w:right="0" w:hanging="0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>POZIOM DOFINANSOWANIA DLA CZĘŚCI 1) – 3)</w:t>
      </w:r>
    </w:p>
    <w:p>
      <w:pPr>
        <w:pStyle w:val="Tretekstu"/>
        <w:spacing w:before="0" w:after="140"/>
        <w:ind w:left="0" w:right="0" w:hanging="0"/>
        <w:rPr/>
      </w:pPr>
      <w:r>
        <w:rPr>
          <w:rStyle w:val="Strong"/>
          <w:rFonts w:cs="Calibri" w:ascii="Calibri" w:hAnsi="Calibri"/>
          <w:b/>
          <w:bCs/>
          <w:sz w:val="20"/>
          <w:szCs w:val="20"/>
        </w:rPr>
        <w:t>Osoby fizyczne</w:t>
      </w:r>
    </w:p>
    <w:tbl>
      <w:tblPr>
        <w:tblW w:w="991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3"/>
        <w:gridCol w:w="3205"/>
        <w:gridCol w:w="3585"/>
      </w:tblGrid>
      <w:tr>
        <w:trPr>
          <w:tblHeader w:val="true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POZIOM PODSTAWOWY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POZIOM PODWYŻSZONY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POZIOM NAJWYŻSZY</w:t>
            </w:r>
          </w:p>
        </w:tc>
      </w:tr>
      <w:tr>
        <w:trPr/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uppressLineNumbers/>
              <w:suppressAutoHyphens w:val="true"/>
              <w:bidi w:val="0"/>
              <w:spacing w:lineRule="auto" w:line="240" w:before="124" w:after="0"/>
              <w:ind w:left="340" w:right="0" w:hanging="340"/>
              <w:jc w:val="left"/>
              <w:rPr/>
            </w:pPr>
            <w:r>
              <w:rPr>
                <w:rFonts w:ascii="Calibri" w:hAnsi="Calibri"/>
                <w:sz w:val="20"/>
                <w:szCs w:val="20"/>
              </w:rPr>
              <w:t>której roczne dochody nie przekraczają </w:t>
            </w:r>
            <w:r>
              <w:rPr>
                <w:rStyle w:val="Strong"/>
                <w:rFonts w:ascii="Calibri" w:hAnsi="Calibri"/>
                <w:sz w:val="20"/>
                <w:szCs w:val="20"/>
              </w:rPr>
              <w:t>135 000 zł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124" w:after="0"/>
              <w:ind w:left="397" w:right="0" w:hanging="340"/>
              <w:jc w:val="left"/>
              <w:rPr/>
            </w:pPr>
            <w:r>
              <w:rPr>
                <w:rFonts w:ascii="Calibri" w:hAnsi="Calibri"/>
                <w:sz w:val="20"/>
                <w:szCs w:val="20"/>
              </w:rPr>
              <w:t>której przeciętny miesięczny dochód na jednego członka jej gospodarstwa domowego nie przekracza kwoty </w:t>
            </w:r>
            <w:r>
              <w:rPr>
                <w:rStyle w:val="Strong"/>
                <w:rFonts w:ascii="Calibri" w:hAnsi="Calibri"/>
                <w:sz w:val="20"/>
                <w:szCs w:val="20"/>
              </w:rPr>
              <w:t xml:space="preserve">1 894 zł  </w:t>
            </w:r>
            <w:r>
              <w:rPr>
                <w:rFonts w:ascii="Calibri" w:hAnsi="Calibri"/>
                <w:sz w:val="20"/>
                <w:szCs w:val="20"/>
              </w:rPr>
              <w:t> w gospodarstwie wieloosobowym, </w:t>
            </w:r>
            <w:r>
              <w:rPr>
                <w:rStyle w:val="Strong"/>
                <w:rFonts w:ascii="Calibri" w:hAnsi="Calibri"/>
                <w:sz w:val="20"/>
                <w:szCs w:val="20"/>
              </w:rPr>
              <w:t>2 651 zł</w:t>
            </w:r>
            <w:r>
              <w:rPr>
                <w:rFonts w:ascii="Calibri" w:hAnsi="Calibri"/>
                <w:sz w:val="20"/>
                <w:szCs w:val="20"/>
              </w:rPr>
              <w:t> w gospodarstwie jednoosobowym.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spacing w:lineRule="auto" w:line="240" w:before="124" w:after="0"/>
              <w:ind w:left="397" w:right="57" w:hanging="340"/>
              <w:jc w:val="left"/>
              <w:rPr/>
            </w:pPr>
            <w:r>
              <w:rPr>
                <w:rFonts w:ascii="Calibri" w:hAnsi="Calibri"/>
                <w:sz w:val="20"/>
                <w:szCs w:val="20"/>
              </w:rPr>
              <w:t>której przeciętny miesięczny dochód na jednego członka jej gospodarstwa domowego nie przekracza kwoty </w:t>
            </w:r>
            <w:r>
              <w:rPr>
                <w:rStyle w:val="Strong"/>
                <w:rFonts w:ascii="Calibri" w:hAnsi="Calibri"/>
                <w:sz w:val="20"/>
                <w:szCs w:val="20"/>
              </w:rPr>
              <w:t xml:space="preserve">1 090  zł </w:t>
            </w:r>
            <w:r>
              <w:rPr>
                <w:rFonts w:ascii="Calibri" w:hAnsi="Calibri"/>
                <w:sz w:val="20"/>
                <w:szCs w:val="20"/>
              </w:rPr>
              <w:t> w gospodarstwie wieloosobowym, </w:t>
            </w:r>
            <w:r>
              <w:rPr>
                <w:rStyle w:val="Strong"/>
                <w:rFonts w:ascii="Calibri" w:hAnsi="Calibri"/>
                <w:sz w:val="20"/>
                <w:szCs w:val="20"/>
              </w:rPr>
              <w:t xml:space="preserve">1 526 zł  </w:t>
            </w:r>
            <w:r>
              <w:rPr>
                <w:rFonts w:ascii="Calibri" w:hAnsi="Calibri"/>
                <w:sz w:val="20"/>
                <w:szCs w:val="20"/>
              </w:rPr>
              <w:t> w gospodarstwie jednoosobowym lub jest ustalone prawo do zasiłku stałego, okresowego, rodzinnego lub opiekuńczego.</w:t>
            </w:r>
          </w:p>
        </w:tc>
      </w:tr>
    </w:tbl>
    <w:p>
      <w:pPr>
        <w:pStyle w:val="Tretekstu"/>
        <w:spacing w:before="0" w:after="140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spacing w:before="0" w:after="140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INTENSYWNOŚĆ DOFINANSOWANIA DLA CZĘŚCI 1) – 3)</w:t>
      </w:r>
    </w:p>
    <w:tbl>
      <w:tblPr>
        <w:tblW w:w="991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03"/>
        <w:gridCol w:w="3196"/>
        <w:gridCol w:w="3514"/>
      </w:tblGrid>
      <w:tr>
        <w:trPr>
          <w:tblHeader w:val="true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POZIOM PODSTAWOWY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POZIOM PODWYŻSZONY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POZIOM NAJWYŻSZY</w:t>
            </w:r>
          </w:p>
        </w:tc>
      </w:tr>
      <w:tr>
        <w:trPr/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do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30% kosztów kwalifikowanych</w:t>
            </w:r>
            <w:r>
              <w:rPr>
                <w:rFonts w:cs="Calibri" w:ascii="Calibri" w:hAnsi="Calibri"/>
                <w:sz w:val="20"/>
                <w:szCs w:val="20"/>
              </w:rPr>
              <w:t>, nie więcej niż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16 500 zł</w:t>
            </w:r>
            <w:r>
              <w:rPr>
                <w:rFonts w:cs="Calibri" w:ascii="Calibri" w:hAnsi="Calibri"/>
                <w:sz w:val="20"/>
                <w:szCs w:val="20"/>
              </w:rPr>
              <w:t> na jeden lokal mieszkalny,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do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35% kosztów kwalifikowanych</w:t>
            </w:r>
            <w:r>
              <w:rPr>
                <w:rFonts w:cs="Calibri" w:ascii="Calibri" w:hAnsi="Calibri"/>
                <w:sz w:val="20"/>
                <w:szCs w:val="20"/>
              </w:rPr>
              <w:t>, nie więcej niż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19 000 zł</w:t>
            </w:r>
            <w:r>
              <w:rPr>
                <w:rFonts w:cs="Calibri" w:ascii="Calibri" w:hAnsi="Calibri"/>
                <w:sz w:val="20"/>
                <w:szCs w:val="20"/>
              </w:rPr>
              <w:t> na jeden lokal mieszkalny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(dla budynków w miejscowości ujętej na liście najbardziej zanieczyszczonych gmin)</w:t>
            </w:r>
            <w:r>
              <w:rPr>
                <w:rFonts w:cs="Calibri" w:ascii="Calibri" w:hAnsi="Calibri"/>
                <w:sz w:val="20"/>
                <w:szCs w:val="20"/>
              </w:rPr>
              <w:t>.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do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60% kosztów kwalifikowanych</w:t>
            </w:r>
            <w:r>
              <w:rPr>
                <w:rFonts w:cs="Calibri" w:ascii="Calibri" w:hAnsi="Calibri"/>
                <w:sz w:val="20"/>
                <w:szCs w:val="20"/>
              </w:rPr>
              <w:t>, nie więcej niż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27 500 zł</w:t>
            </w:r>
            <w:r>
              <w:rPr>
                <w:rFonts w:cs="Calibri" w:ascii="Calibri" w:hAnsi="Calibri"/>
                <w:sz w:val="20"/>
                <w:szCs w:val="20"/>
              </w:rPr>
              <w:t> na jeden lokal mieszkalny,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do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65% kosztów kwalifikowanych</w:t>
            </w:r>
            <w:r>
              <w:rPr>
                <w:rFonts w:cs="Calibri" w:ascii="Calibri" w:hAnsi="Calibri"/>
                <w:sz w:val="20"/>
                <w:szCs w:val="20"/>
              </w:rPr>
              <w:t>, nie więcej niż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29 500 zł</w:t>
            </w:r>
            <w:r>
              <w:rPr>
                <w:rFonts w:cs="Calibri" w:ascii="Calibri" w:hAnsi="Calibri"/>
                <w:sz w:val="20"/>
                <w:szCs w:val="20"/>
              </w:rPr>
              <w:t> na jeden lokal mieszkalny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(dla budynków w miejscowości ujętej na liście najbardziej zanieczyszczonych gmin)</w:t>
            </w:r>
            <w:r>
              <w:rPr>
                <w:rFonts w:cs="Calibri" w:ascii="Calibri" w:hAnsi="Calibri"/>
                <w:sz w:val="20"/>
                <w:szCs w:val="20"/>
              </w:rPr>
              <w:t>.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do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90% kosztów kwalifikowanych</w:t>
            </w:r>
            <w:r>
              <w:rPr>
                <w:rFonts w:cs="Calibri" w:ascii="Calibri" w:hAnsi="Calibri"/>
                <w:sz w:val="20"/>
                <w:szCs w:val="20"/>
              </w:rPr>
              <w:t>, nie więcej niż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41 000 zł</w:t>
            </w:r>
            <w:r>
              <w:rPr>
                <w:rFonts w:cs="Calibri" w:ascii="Calibri" w:hAnsi="Calibri"/>
                <w:sz w:val="20"/>
                <w:szCs w:val="20"/>
              </w:rPr>
              <w:t> na jeden lokal mieszkalny,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suppressLineNumbers/>
              <w:tabs>
                <w:tab w:val="clear" w:pos="720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283" w:right="0" w:hanging="283"/>
              <w:jc w:val="left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do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95% kosztów kwalifikowanych</w:t>
            </w:r>
            <w:r>
              <w:rPr>
                <w:rFonts w:cs="Calibri" w:ascii="Calibri" w:hAnsi="Calibri"/>
                <w:sz w:val="20"/>
                <w:szCs w:val="20"/>
              </w:rPr>
              <w:t>, nie więcej niż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43 900 zł</w:t>
            </w:r>
            <w:r>
              <w:rPr>
                <w:rFonts w:cs="Calibri" w:ascii="Calibri" w:hAnsi="Calibri"/>
                <w:sz w:val="20"/>
                <w:szCs w:val="20"/>
              </w:rPr>
              <w:t> na jeden lokal mieszkalny </w:t>
            </w:r>
            <w:r>
              <w:rPr>
                <w:rStyle w:val="Strong"/>
                <w:rFonts w:cs="Calibri" w:ascii="Calibri" w:hAnsi="Calibri"/>
                <w:sz w:val="20"/>
                <w:szCs w:val="20"/>
              </w:rPr>
              <w:t>(dla budynków w miejscowości ujętej na liście najbardziej zanieczyszczonych gmin)</w:t>
            </w:r>
            <w:r>
              <w:rPr>
                <w:rFonts w:cs="Calibri" w:ascii="Calibri" w:hAnsi="Calibri"/>
                <w:sz w:val="20"/>
                <w:szCs w:val="20"/>
              </w:rPr>
              <w:t>.</w:t>
            </w:r>
          </w:p>
        </w:tc>
      </w:tr>
    </w:tbl>
    <w:p>
      <w:pPr>
        <w:pStyle w:val="Tretekstu"/>
        <w:spacing w:before="0" w:after="140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spacing w:before="0" w:after="140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INTENSYWNOŚĆ DOFINANSOWANIA DLA CZĘŚCI 4)</w:t>
      </w:r>
    </w:p>
    <w:p>
      <w:pPr>
        <w:pStyle w:val="Tretekstu"/>
        <w:spacing w:before="0" w:after="140"/>
        <w:ind w:left="0" w:right="0" w:hanging="0"/>
        <w:rPr/>
      </w:pPr>
      <w:r>
        <w:rPr>
          <w:rStyle w:val="Strong"/>
          <w:rFonts w:cs="Calibri" w:ascii="Calibri" w:hAnsi="Calibri"/>
          <w:sz w:val="20"/>
          <w:szCs w:val="20"/>
        </w:rPr>
        <w:t>Wspólnoty mieszkaniowe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65"/>
        <w:gridCol w:w="4172"/>
      </w:tblGrid>
      <w:tr>
        <w:trPr>
          <w:tblHeader w:val="true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tabeli"/>
              <w:widowControl w:val="false"/>
              <w:spacing w:before="124" w:after="0"/>
              <w:ind w:left="0" w:right="0" w:hang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Maksymalna kwota dotacji</w:t>
            </w:r>
          </w:p>
        </w:tc>
      </w:tr>
      <w:tr>
        <w:trPr/>
        <w:tc>
          <w:tcPr>
            <w:tcW w:w="5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Kompleksowa termomodernizacja z wymianą źródła ciepła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350 000 zł (60%)</w:t>
            </w:r>
          </w:p>
        </w:tc>
      </w:tr>
      <w:tr>
        <w:trPr/>
        <w:tc>
          <w:tcPr>
            <w:tcW w:w="5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Kompleksowa termomodernizacja z wymianą źródła ciepła oraz zakup i montaż mikroinstalacji fotowoltaicznej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360 000 zł (60%) 375 000 (60%) – dla zadania uwzględniającego pompy ciepła</w:t>
            </w:r>
          </w:p>
        </w:tc>
      </w:tr>
      <w:tr>
        <w:trPr/>
        <w:tc>
          <w:tcPr>
            <w:tcW w:w="5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124" w:after="0"/>
              <w:ind w:left="0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Termomodernizacja bez wymiany źródeł ciepła</w:t>
            </w: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124" w:after="0"/>
              <w:ind w:left="101" w:righ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150 000 zł (60%)</w:t>
            </w:r>
          </w:p>
        </w:tc>
      </w:tr>
    </w:tbl>
    <w:p>
      <w:pPr>
        <w:pStyle w:val="Normal"/>
        <w:ind w:left="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ind w:left="0" w:right="0" w:hanging="0"/>
        <w:jc w:val="both"/>
        <w:rPr/>
      </w:pPr>
      <w:r>
        <w:rPr>
          <w:rStyle w:val="Strong"/>
          <w:rFonts w:cs="Calibri" w:ascii="Calibri" w:hAnsi="Calibri"/>
          <w:sz w:val="20"/>
          <w:szCs w:val="20"/>
        </w:rPr>
        <w:t>Gdzie składać wnioski?</w:t>
      </w:r>
    </w:p>
    <w:p>
      <w:pPr>
        <w:pStyle w:val="Tretekstu"/>
        <w:bidi w:val="0"/>
        <w:ind w:left="0" w:right="0" w:hanging="0"/>
        <w:jc w:val="both"/>
        <w:rPr/>
      </w:pPr>
      <w:r>
        <w:rPr>
          <w:rFonts w:cs="Calibri" w:ascii="Calibri" w:hAnsi="Calibri"/>
          <w:sz w:val="20"/>
          <w:szCs w:val="20"/>
        </w:rPr>
        <w:t>–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w formie papierowej: Urząd Miasta Kalisza, Główny Rynek 20, 62-800 Kalisz,</w:t>
      </w:r>
    </w:p>
    <w:p>
      <w:pPr>
        <w:pStyle w:val="Tretekstu"/>
        <w:bidi w:val="0"/>
        <w:ind w:left="0" w:right="0" w:hanging="0"/>
        <w:jc w:val="both"/>
        <w:rPr/>
      </w:pPr>
      <w:r>
        <w:rPr>
          <w:rFonts w:cs="Calibri" w:ascii="Calibri" w:hAnsi="Calibri"/>
          <w:sz w:val="20"/>
          <w:szCs w:val="20"/>
        </w:rPr>
        <w:t>–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 xml:space="preserve">w formie elektronicznej: przez skrzynkę podawczą Urzędu Miasta Kalisza, znajdującą się na elektronicznej Platformie Usług Administracji Publicznej (ePUAP): </w:t>
      </w:r>
      <w:r>
        <w:rPr>
          <w:rFonts w:cs="Calibri" w:ascii="Calibri" w:hAnsi="Calibri"/>
          <w:caps w:val="false"/>
          <w:smallCaps w:val="false"/>
          <w:color w:val="0A0A0A"/>
          <w:spacing w:val="0"/>
          <w:sz w:val="20"/>
          <w:szCs w:val="20"/>
        </w:rPr>
        <w:t> </w:t>
      </w:r>
      <w:r>
        <w:rPr>
          <w:rStyle w:val="Strong"/>
          <w:rFonts w:cs="Calibri" w:ascii="Calibri" w:hAnsi="Calibri"/>
          <w:b w:val="false"/>
          <w:bCs w:val="false"/>
          <w:i w:val="false"/>
          <w:caps w:val="false"/>
          <w:smallCaps w:val="false"/>
          <w:color w:val="0A0A0A"/>
          <w:spacing w:val="0"/>
          <w:sz w:val="20"/>
          <w:szCs w:val="20"/>
        </w:rPr>
        <w:t>/20t18jhef6/skrytka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Szczegółowe informacje o składaniu i rozpatrywaniu wniosków o dofinansowanie zawarte są w Regulaminie naboru wniosków o dofinansowanie przedsięwzięć w ramach programu priorytetowego „Ciepłe Mieszkanie” dla Miasta Kalisza.</w:t>
      </w:r>
    </w:p>
    <w:p>
      <w:pPr>
        <w:pStyle w:val="Tretekstu"/>
        <w:bidi w:val="0"/>
        <w:ind w:left="0" w:right="0" w:hanging="0"/>
        <w:jc w:val="both"/>
        <w:rPr/>
      </w:pPr>
      <w:r>
        <w:rPr>
          <w:rStyle w:val="Strong"/>
          <w:rFonts w:cs="Calibri" w:ascii="Calibri" w:hAnsi="Calibri"/>
          <w:sz w:val="20"/>
          <w:szCs w:val="20"/>
        </w:rPr>
        <w:t>Dane kontaktowe w ramach prowadzonego naboru wniosków: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Tel.: 62 76 54 362 -  Anna Piotrowska,  Renata Nowaczyk - Ruszczak</w:t>
      </w:r>
    </w:p>
    <w:p>
      <w:pPr>
        <w:pStyle w:val="Tretekstu"/>
        <w:bidi w:val="0"/>
        <w:ind w:left="0" w:right="0" w:hanging="0"/>
        <w:jc w:val="both"/>
        <w:rPr/>
      </w:pPr>
      <w:r>
        <w:rPr>
          <w:rFonts w:cs="Calibri" w:ascii="Calibri" w:hAnsi="Calibri"/>
          <w:sz w:val="20"/>
          <w:szCs w:val="20"/>
        </w:rPr>
        <w:t xml:space="preserve">e-mail: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>wgos@um.kalisz.pl</w:t>
      </w:r>
    </w:p>
    <w:p>
      <w:pPr>
        <w:pStyle w:val="Tretekstu"/>
        <w:bidi w:val="0"/>
        <w:ind w:left="0" w:right="0" w:hanging="0"/>
        <w:jc w:val="both"/>
        <w:rPr/>
      </w:pPr>
      <w:r>
        <w:rPr>
          <w:rStyle w:val="Strong"/>
          <w:rFonts w:cs="Calibri" w:ascii="Calibri" w:hAnsi="Calibri"/>
          <w:sz w:val="20"/>
          <w:szCs w:val="20"/>
        </w:rPr>
        <w:t>Informacje niezbędne do sprawnego wypełnienia wniosku: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1. Imię, nazwisko, PESEL, tel. kontaktowy, adres zamieszkania, adres e-mail wnioskodawcy.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2. Imię, nazwisko, adres zamieszkania współwłaścicieli (jeśli dotyczy).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3. Imię, nazwisko, PESEL, adres zamieszkania współmałżonka (jeśli dotyczy).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4. Adres zamieszkania/przedsięwzięcia.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5. Numer rachunku bankowego.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6. Numer księgi wieczystej, numer działki.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7. Rok wystąpienia o zgodę na budowę dla budynku/lokalu.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8. Powierzchnia całkowita lokalu mieszkalnego.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9. Informacje o uzyskanym dochodzie  Wnioskodawcy (np. z PIT, ilość ha przeliczeniowego itp. itd.).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10. Rodzaj dotychczasowego źródła ciepła i ich ilość.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11. W przypadku wymiany stolarki okiennej i/lub drzwiowej – ilość okien/drzwi.</w:t>
      </w:r>
    </w:p>
    <w:p>
      <w:pPr>
        <w:pStyle w:val="Tretekstu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12. Zaświadczenie o dochodach w gospodarstwie domowym na 1 członka – w przypadku beneficjenta uprawnionego do podwyższonego lub najwyższego poziomu dofinansowania nie starsze niż 3 miesiące i wystawione nie później niż data złożenia wniosku.</w:t>
      </w:r>
    </w:p>
    <w:p>
      <w:pPr>
        <w:pStyle w:val="Tretekstu"/>
        <w:bidi w:val="0"/>
        <w:ind w:left="0" w:right="0" w:hanging="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 </w:t>
      </w:r>
    </w:p>
    <w:p>
      <w:pPr>
        <w:pStyle w:val="Tretekstu"/>
        <w:bidi w:val="0"/>
        <w:ind w:left="0" w:right="0" w:hanging="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ind w:left="0" w:right="0" w:hanging="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ind w:left="0" w:right="0" w:hanging="0"/>
        <w:jc w:val="left"/>
        <w:rPr>
          <w:b/>
          <w:b/>
          <w:bCs/>
        </w:rPr>
      </w:pPr>
      <w:r>
        <w:rPr>
          <w:rFonts w:cs="Calibri" w:ascii="Calibri" w:hAnsi="Calibri"/>
          <w:b/>
          <w:bCs/>
          <w:sz w:val="20"/>
          <w:szCs w:val="20"/>
        </w:rPr>
        <w:t>Dokumenty do pobrania:</w:t>
      </w:r>
    </w:p>
    <w:p>
      <w:pPr>
        <w:pStyle w:val="Tretekstu"/>
        <w:bidi w:val="0"/>
        <w:ind w:left="0" w:right="0" w:hanging="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Regulamin naboru wniosków o dofinansowanie w Programie Priorytetowym „Ciepłe Mieszkanie” z załącznikami: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0"/>
          <w:szCs w:val="20"/>
        </w:rPr>
        <w:t>Załączniki do Regulaminu:</w:t>
      </w:r>
    </w:p>
    <w:p>
      <w:pPr>
        <w:pStyle w:val="ListParagraph"/>
        <w:numPr>
          <w:ilvl w:val="0"/>
          <w:numId w:val="9"/>
        </w:numPr>
        <w:spacing w:lineRule="auto" w:line="360"/>
        <w:ind w:left="720" w:right="0" w:hanging="360"/>
        <w:jc w:val="both"/>
        <w:rPr/>
      </w:pPr>
      <w:r>
        <w:rPr>
          <w:rFonts w:ascii="Calibri" w:hAnsi="Calibri"/>
          <w:sz w:val="20"/>
          <w:szCs w:val="20"/>
        </w:rPr>
        <w:t>Zasady Programu Priorytetowego „Ciepłe Mieszkanie”  z załącznikami:</w:t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bidi w:val="0"/>
        <w:spacing w:lineRule="auto" w:line="360" w:before="124" w:after="0"/>
        <w:ind w:left="737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Rodzaje</w:t>
      </w:r>
      <w:r>
        <w:rPr>
          <w:rFonts w:ascii="Calibri" w:hAnsi="Calibri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kosztów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kwalifikowanych</w:t>
      </w:r>
      <w:r>
        <w:rPr>
          <w:rFonts w:ascii="Calibri" w:hAnsi="Calibri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oraz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wymagania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techniczne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dla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Części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z w:val="20"/>
          <w:szCs w:val="20"/>
        </w:rPr>
        <w:t>1)-3)</w:t>
      </w:r>
      <w:r>
        <w:rPr>
          <w:rFonts w:ascii="Calibri" w:hAnsi="Calibri"/>
          <w:b w:val="false"/>
          <w:bCs w:val="false"/>
          <w:spacing w:val="-6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programu</w:t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bidi w:val="0"/>
        <w:spacing w:lineRule="auto" w:line="360" w:before="124" w:after="0"/>
        <w:ind w:left="737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pacing w:val="-2"/>
          <w:sz w:val="20"/>
          <w:szCs w:val="20"/>
        </w:rPr>
        <w:t>Rodzaje</w:t>
      </w:r>
      <w:r>
        <w:rPr>
          <w:rFonts w:ascii="Calibri" w:hAnsi="Calibri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kosztów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kwalifikowanych</w:t>
      </w:r>
      <w:r>
        <w:rPr>
          <w:rFonts w:ascii="Calibri" w:hAnsi="Calibri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oraz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wymagania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techniczne dla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Części</w:t>
      </w:r>
      <w:r>
        <w:rPr>
          <w:rFonts w:ascii="Calibri" w:hAnsi="Calibri"/>
          <w:b w:val="false"/>
          <w:bCs w:val="false"/>
          <w:spacing w:val="-7"/>
          <w:sz w:val="20"/>
          <w:szCs w:val="20"/>
        </w:rPr>
        <w:t xml:space="preserve"> 4</w:t>
      </w:r>
      <w:r>
        <w:rPr>
          <w:rFonts w:ascii="Calibri" w:hAnsi="Calibri"/>
          <w:b w:val="false"/>
          <w:bCs w:val="false"/>
          <w:spacing w:val="-2"/>
          <w:sz w:val="20"/>
          <w:szCs w:val="20"/>
        </w:rPr>
        <w:t>) programu</w:t>
      </w:r>
    </w:p>
    <w:p>
      <w:pPr>
        <w:pStyle w:val="ListParagraph"/>
        <w:numPr>
          <w:ilvl w:val="0"/>
          <w:numId w:val="9"/>
        </w:numPr>
        <w:spacing w:lineRule="auto" w:line="360"/>
        <w:ind w:left="720" w:right="0" w:hanging="360"/>
        <w:jc w:val="both"/>
        <w:rPr/>
      </w:pPr>
      <w:r>
        <w:rPr>
          <w:rFonts w:ascii="Calibri" w:hAnsi="Calibri"/>
          <w:sz w:val="20"/>
          <w:szCs w:val="20"/>
        </w:rPr>
        <w:t>Wzór wniosku o dofinansowanie dla osób fizycznych z załącznikami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360" w:before="124" w:after="0"/>
        <w:ind w:left="340" w:right="0" w:hanging="0"/>
        <w:jc w:val="both"/>
        <w:rPr/>
      </w:pPr>
      <w:r>
        <w:rPr>
          <w:rFonts w:ascii="Calibri" w:hAnsi="Calibri"/>
          <w:sz w:val="20"/>
          <w:szCs w:val="20"/>
        </w:rPr>
        <w:t>2a.   Wzór  wniosku o dofinansowanie dla wspólnot z załącznikami</w:t>
      </w:r>
    </w:p>
    <w:p>
      <w:pPr>
        <w:pStyle w:val="ListParagraph"/>
        <w:widowControl w:val="false"/>
        <w:numPr>
          <w:ilvl w:val="0"/>
          <w:numId w:val="10"/>
        </w:numPr>
        <w:suppressAutoHyphens w:val="true"/>
        <w:bidi w:val="0"/>
        <w:spacing w:lineRule="auto" w:line="360" w:before="124" w:after="0"/>
        <w:ind w:left="340" w:right="0" w:hanging="0"/>
        <w:jc w:val="both"/>
        <w:rPr/>
      </w:pPr>
      <w:r>
        <w:rPr>
          <w:rFonts w:ascii="Calibri" w:hAnsi="Calibri"/>
          <w:sz w:val="20"/>
          <w:szCs w:val="20"/>
        </w:rPr>
        <w:t>Instrukcja wypełniania wniosku o dofinansowanie dla osób fizycznych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0"/>
        <w:jc w:val="both"/>
        <w:rPr/>
      </w:pPr>
      <w:r>
        <w:rPr>
          <w:rFonts w:ascii="Calibri" w:hAnsi="Calibri"/>
          <w:sz w:val="20"/>
          <w:szCs w:val="20"/>
        </w:rPr>
        <w:t>3a.   Instrukcja wypełniania wniosku o dofinansowanie dla wspólnot</w:t>
      </w:r>
    </w:p>
    <w:p>
      <w:pPr>
        <w:pStyle w:val="ListParagraph"/>
        <w:widowControl w:val="false"/>
        <w:numPr>
          <w:ilvl w:val="0"/>
          <w:numId w:val="11"/>
        </w:numPr>
        <w:suppressAutoHyphens w:val="true"/>
        <w:bidi w:val="0"/>
        <w:spacing w:lineRule="auto" w:line="360" w:before="0" w:after="0"/>
        <w:ind w:left="737" w:right="0" w:hanging="340"/>
        <w:jc w:val="both"/>
        <w:rPr/>
      </w:pPr>
      <w:r>
        <w:rPr>
          <w:rFonts w:ascii="Calibri" w:hAnsi="Calibri"/>
          <w:sz w:val="20"/>
          <w:szCs w:val="20"/>
        </w:rPr>
        <w:t>W</w:t>
      </w:r>
      <w:r>
        <w:rPr>
          <w:rFonts w:cs="Calibri" w:ascii="Calibri" w:hAnsi="Calibri"/>
          <w:sz w:val="20"/>
          <w:szCs w:val="20"/>
        </w:rPr>
        <w:t>zór umowy o dofinansowanie z załącznikami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260" w:right="1240" w:gutter="0" w:header="760" w:top="1923" w:footer="1417" w:bottom="207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crosoft Sans Serif"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124" w:after="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2082165</wp:posOffset>
          </wp:positionH>
          <wp:positionV relativeFrom="paragraph">
            <wp:posOffset>32327850</wp:posOffset>
          </wp:positionV>
          <wp:extent cx="1730375" cy="637540"/>
          <wp:effectExtent l="0" t="0" r="0" b="0"/>
          <wp:wrapSquare wrapText="largest"/>
          <wp:docPr id="7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4</w:t>
    </w:r>
    <w:r>
      <w:rPr>
        <w:sz w:val="20"/>
        <w:szCs w:val="20"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</w:r>
  </w:p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Załącznik nr </w:t>
    </w:r>
    <w:r>
      <w:rPr>
        <w:rFonts w:ascii="Calibri" w:hAnsi="Calibri"/>
        <w:b/>
        <w:bCs/>
        <w:color w:val="FF5429"/>
        <w:sz w:val="18"/>
        <w:szCs w:val="18"/>
      </w:rPr>
      <w:t>……..</w:t>
    </w:r>
    <w:r>
      <w:rPr>
        <w:rFonts w:ascii="Calibri" w:hAnsi="Calibri"/>
        <w:sz w:val="18"/>
        <w:szCs w:val="18"/>
      </w:rPr>
      <w:t xml:space="preserve"> do </w:t>
    </w:r>
  </w:p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Zarządzenia</w:t>
    </w:r>
    <w:r>
      <w:rPr>
        <w:rFonts w:ascii="Calibri" w:hAnsi="Calibri"/>
        <w:spacing w:val="1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Nr </w:t>
    </w:r>
    <w:r>
      <w:rPr>
        <w:rFonts w:ascii="Calibri" w:hAnsi="Calibri"/>
        <w:color w:val="FF5429"/>
        <w:sz w:val="18"/>
        <w:szCs w:val="18"/>
      </w:rPr>
      <w:t>……./2024</w:t>
    </w:r>
    <w:r>
      <w:rPr>
        <w:rFonts w:ascii="Calibri" w:hAnsi="Calibri"/>
        <w:sz w:val="18"/>
        <w:szCs w:val="18"/>
      </w:rPr>
      <w:t xml:space="preserve"> Prezydenta Miasta Kalisza</w:t>
    </w:r>
    <w:r>
      <w:rPr>
        <w:rFonts w:ascii="Calibri" w:hAnsi="Calibri"/>
        <w:spacing w:val="-51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z dnia</w:t>
    </w:r>
    <w:r>
      <w:rPr>
        <w:rFonts w:ascii="Calibri" w:hAnsi="Calibri"/>
        <w:spacing w:val="3"/>
        <w:sz w:val="18"/>
        <w:szCs w:val="18"/>
      </w:rPr>
      <w:t xml:space="preserve"> </w:t>
    </w:r>
    <w:r>
      <w:rPr>
        <w:rFonts w:ascii="Calibri" w:hAnsi="Calibri"/>
        <w:color w:val="FF5429"/>
        <w:spacing w:val="3"/>
        <w:sz w:val="18"/>
        <w:szCs w:val="18"/>
      </w:rPr>
      <w:t>………..</w:t>
    </w:r>
    <w:r>
      <w:rPr>
        <w:rFonts w:ascii="Calibri" w:hAnsi="Calibri"/>
        <w:color w:val="FF5429"/>
        <w:spacing w:val="4"/>
        <w:sz w:val="18"/>
        <w:szCs w:val="18"/>
      </w:rPr>
      <w:t xml:space="preserve"> </w:t>
    </w:r>
    <w:r>
      <w:rPr>
        <w:rFonts w:ascii="Calibri" w:hAnsi="Calibri"/>
        <w:color w:val="FF5429"/>
        <w:sz w:val="18"/>
        <w:szCs w:val="18"/>
      </w:rPr>
      <w:t>2024</w:t>
    </w:r>
    <w:r>
      <w:rPr>
        <w:rFonts w:ascii="Calibri" w:hAnsi="Calibri"/>
        <w:sz w:val="18"/>
        <w:szCs w:val="18"/>
      </w:rPr>
      <w:t xml:space="preserve"> r.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4160520</wp:posOffset>
          </wp:positionH>
          <wp:positionV relativeFrom="paragraph">
            <wp:posOffset>-125730</wp:posOffset>
          </wp:positionV>
          <wp:extent cx="1621790" cy="56007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2034540</wp:posOffset>
          </wp:positionH>
          <wp:positionV relativeFrom="paragraph">
            <wp:posOffset>-113665</wp:posOffset>
          </wp:positionV>
          <wp:extent cx="1730375" cy="637540"/>
          <wp:effectExtent l="0" t="0" r="0" b="0"/>
          <wp:wrapSquare wrapText="largest"/>
          <wp:docPr id="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41275</wp:posOffset>
          </wp:positionH>
          <wp:positionV relativeFrom="paragraph">
            <wp:posOffset>-134620</wp:posOffset>
          </wp:positionV>
          <wp:extent cx="1383665" cy="683260"/>
          <wp:effectExtent l="0" t="0" r="0" b="0"/>
          <wp:wrapNone/>
          <wp:docPr id="3" name="image1.png kopia 1" descr="C:\Users\ityczynska\Desktop\IZA\CIEPŁE MIESZKANIE\Ciepłe mieszkani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 kopia 1" descr="C:\Users\ityczynska\Desktop\IZA\CIEPŁE MIESZKANIE\Ciepłe mieszkanie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4160520</wp:posOffset>
          </wp:positionH>
          <wp:positionV relativeFrom="paragraph">
            <wp:posOffset>-125730</wp:posOffset>
          </wp:positionV>
          <wp:extent cx="1621790" cy="560070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2034540</wp:posOffset>
          </wp:positionH>
          <wp:positionV relativeFrom="paragraph">
            <wp:posOffset>-113665</wp:posOffset>
          </wp:positionV>
          <wp:extent cx="1730375" cy="637540"/>
          <wp:effectExtent l="0" t="0" r="0" b="0"/>
          <wp:wrapSquare wrapText="largest"/>
          <wp:docPr id="5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41275</wp:posOffset>
          </wp:positionH>
          <wp:positionV relativeFrom="paragraph">
            <wp:posOffset>-134620</wp:posOffset>
          </wp:positionV>
          <wp:extent cx="1383665" cy="683260"/>
          <wp:effectExtent l="0" t="0" r="0" b="0"/>
          <wp:wrapNone/>
          <wp:docPr id="6" name="image1.png kopia 1" descr="C:\Users\ityczynska\Desktop\IZA\CIEPŁE MIESZKANIE\Ciepłe mieszkani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 kopia 1" descr="C:\Users\ityczynska\Desktop\IZA\CIEPŁE MIESZKANIE\Ciepłe mieszkanie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6474" w:right="207" w:hanging="0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Calibri" w:hAnsi="Calibri"/>
      </w:r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Calibri" w:hAnsi="Calibri"/>
      </w:rPr>
    </w:lvl>
  </w:abstractNum>
  <w:abstractNum w:abstractNumId="11">
    <w:lvl w:ilvl="0">
      <w:start w:val="4"/>
      <w:numFmt w:val="decimal"/>
      <w:lvlText w:val="%1."/>
      <w:lvlJc w:val="left"/>
      <w:pPr>
        <w:tabs>
          <w:tab w:val="num" w:pos="1060"/>
        </w:tabs>
        <w:ind w:left="1060" w:hanging="360"/>
      </w:pPr>
      <w:rPr>
        <w:sz w:val="20"/>
        <w:b w:val="false"/>
        <w:szCs w:val="20"/>
        <w:bCs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sz w:val="20"/>
        <w:b w:val="false"/>
        <w:szCs w:val="20"/>
        <w:bCs w:val="false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0"/>
        <w:b w:val="false"/>
        <w:szCs w:val="20"/>
        <w:bCs w:val="false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0"/>
        <w:b w:val="false"/>
        <w:szCs w:val="20"/>
        <w:bCs w:val="false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0"/>
        <w:b w:val="false"/>
        <w:szCs w:val="20"/>
        <w:bCs w:val="false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0"/>
        <w:b w:val="false"/>
        <w:szCs w:val="20"/>
        <w:bCs w:val="false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0"/>
        <w:b w:val="false"/>
        <w:szCs w:val="20"/>
        <w:bCs w:val="false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0"/>
        <w:b w:val="false"/>
        <w:szCs w:val="20"/>
        <w:bCs w:val="false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0"/>
        <w:b w:val="false"/>
        <w:szCs w:val="20"/>
        <w:bCs w:val="false"/>
        <w:rFonts w:ascii="Calibri" w:hAnsi="Calibri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124" w:after="0"/>
      <w:ind w:left="101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214" w:right="23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Nagwek2">
    <w:name w:val="Heading 2"/>
    <w:basedOn w:val="Nagwek"/>
    <w:next w:val="Tretekstu"/>
    <w:qFormat/>
    <w:pPr>
      <w:numPr>
        <w:ilvl w:val="1"/>
        <w:numId w:val="4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numPr>
        <w:ilvl w:val="2"/>
        <w:numId w:val="4"/>
      </w:numPr>
      <w:spacing w:before="140" w:after="120"/>
      <w:outlineLvl w:val="2"/>
    </w:pPr>
    <w:rPr>
      <w:rFonts w:ascii="Liberation Serif;Times New Roman" w:hAnsi="Liberation Serif;Times New Roman" w:eastAsia="NSimSun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qFormat/>
    <w:rPr>
      <w:i/>
      <w:iCs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Calibri" w:hAnsi="Calibri"/>
      <w:b w:val="false"/>
      <w:bCs w:val="false"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9z0">
    <w:name w:val="WW8Num9z0"/>
    <w:qFormat/>
    <w:rPr>
      <w:rFonts w:ascii="Symbol" w:hAnsi="Symbol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528" w:right="0" w:hanging="428"/>
      <w:jc w:val="both"/>
    </w:pPr>
    <w:rPr>
      <w:rFonts w:ascii="Microsoft Sans Serif" w:hAnsi="Microsoft Sans Serif" w:eastAsia="Microsoft Sans Serif" w:cs="Microsoft Sans Serif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703" w:leader="none"/>
        <w:tab w:val="right" w:pos="9406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Gwka">
    <w:name w:val="Header"/>
    <w:basedOn w:val="Gwkaistopka"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/>
      <w:color w:val="000000"/>
      <w:kern w:val="0"/>
      <w:sz w:val="24"/>
      <w:szCs w:val="22"/>
      <w:lang w:val="en-US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Application>LibreOffice/7.4.3.2$Windows_X86_64 LibreOffice_project/1048a8393ae2eeec98dff31b5c133c5f1d08b890</Application>
  <AppVersion>15.0000</AppVersion>
  <Pages>4</Pages>
  <Words>974</Words>
  <Characters>6156</Characters>
  <CharactersWithSpaces>7046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2023-12-06T07:02:00Z</dcterms:created>
  <dc:creator>Mariusz Żaczek</dc:creator>
  <dc:description/>
  <dc:language>pl-PL</dc:language>
  <cp:lastModifiedBy/>
  <cp:lastPrinted>2024-05-09T10:09:18Z</cp:lastPrinted>
  <dcterms:modified xsi:type="dcterms:W3CDTF">2024-05-24T09:38:28Z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